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0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Cs/>
          <w:kern w:val="2"/>
          <w:sz w:val="44"/>
          <w:szCs w:val="44"/>
          <w:lang w:val="en-US" w:eastAsia="zh-CN" w:bidi="ar-SA"/>
        </w:rPr>
      </w:pPr>
      <w:bookmarkStart w:id="0" w:name="_Toc720"/>
      <w:r>
        <w:rPr>
          <w:rFonts w:hint="eastAsia" w:asciiTheme="minorEastAsia" w:hAnsiTheme="minorEastAsia" w:eastAsiaTheme="minorEastAsia" w:cstheme="minorEastAsia"/>
          <w:bCs/>
          <w:kern w:val="2"/>
          <w:sz w:val="44"/>
          <w:szCs w:val="44"/>
          <w:lang w:val="en-US" w:eastAsia="zh-CN" w:bidi="ar-SA"/>
        </w:rPr>
        <w:t>采购内容及需求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采购内容</w:t>
      </w:r>
    </w:p>
    <w:tbl>
      <w:tblPr>
        <w:tblW w:w="8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09"/>
        <w:gridCol w:w="750"/>
        <w:gridCol w:w="716"/>
        <w:gridCol w:w="1374"/>
        <w:gridCol w:w="715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75W驱动电源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170元/个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9000元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超五类双屏蔽网线（防水防晒）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水晶头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7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配套超五类双屏蔽网线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铝合金线槽盖板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6.75元/米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适配线槽50mm×30mm（宽度×高度）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二、供货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1.合同签订后接招标人通知</w:t>
      </w:r>
      <w:r>
        <w:rPr>
          <w:rFonts w:hint="eastAsia" w:ascii="宋体" w:hAnsi="宋体"/>
          <w:b/>
          <w:bCs/>
          <w:sz w:val="24"/>
          <w:lang w:val="en-US" w:eastAsia="zh-CN"/>
        </w:rPr>
        <w:t>3天内</w:t>
      </w:r>
      <w:r>
        <w:rPr>
          <w:rFonts w:hint="eastAsia" w:ascii="宋体" w:hAnsi="宋体"/>
          <w:sz w:val="24"/>
          <w:lang w:val="en-US" w:eastAsia="zh-CN"/>
        </w:rPr>
        <w:t>供货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eastAsia="zh-CN"/>
        </w:rPr>
        <w:t>中标人</w:t>
      </w:r>
      <w:r>
        <w:rPr>
          <w:rFonts w:hint="eastAsia" w:ascii="宋体" w:hAnsi="宋体"/>
          <w:sz w:val="24"/>
        </w:rPr>
        <w:t>所交付的货物品种、型号、规格不符合采购文件规定的，</w:t>
      </w:r>
      <w:r>
        <w:rPr>
          <w:rFonts w:hint="eastAsia" w:ascii="宋体" w:hAnsi="宋体"/>
          <w:sz w:val="24"/>
          <w:lang w:eastAsia="zh-CN"/>
        </w:rPr>
        <w:t>招标人</w:t>
      </w:r>
      <w:r>
        <w:rPr>
          <w:rFonts w:hint="eastAsia" w:ascii="宋体" w:hAnsi="宋体"/>
          <w:sz w:val="24"/>
        </w:rPr>
        <w:t>有权拒收。若</w:t>
      </w:r>
      <w:r>
        <w:rPr>
          <w:rFonts w:hint="eastAsia" w:ascii="宋体" w:hAnsi="宋体"/>
          <w:sz w:val="24"/>
          <w:lang w:eastAsia="zh-CN"/>
        </w:rPr>
        <w:t>中标人</w:t>
      </w:r>
      <w:r>
        <w:rPr>
          <w:rFonts w:hint="eastAsia" w:ascii="宋体" w:hAnsi="宋体"/>
          <w:sz w:val="24"/>
        </w:rPr>
        <w:t>不能提供符合采购文件规定的货物的，</w:t>
      </w:r>
      <w:r>
        <w:rPr>
          <w:rFonts w:hint="eastAsia" w:ascii="宋体" w:hAnsi="宋体"/>
          <w:sz w:val="24"/>
          <w:lang w:eastAsia="zh-CN"/>
        </w:rPr>
        <w:t>招标人</w:t>
      </w:r>
      <w:r>
        <w:rPr>
          <w:rFonts w:hint="eastAsia" w:ascii="宋体" w:hAnsi="宋体"/>
          <w:sz w:val="24"/>
        </w:rPr>
        <w:t>有权另行采购满足采购文件要求的产品，由此产生的一切费用、增加成本均由</w:t>
      </w:r>
      <w:r>
        <w:rPr>
          <w:rFonts w:hint="eastAsia" w:ascii="宋体" w:hAnsi="宋体"/>
          <w:sz w:val="24"/>
          <w:lang w:eastAsia="zh-CN"/>
        </w:rPr>
        <w:t>中标人</w:t>
      </w:r>
      <w:r>
        <w:rPr>
          <w:rFonts w:hint="eastAsia" w:ascii="宋体" w:hAnsi="宋体"/>
          <w:sz w:val="24"/>
        </w:rPr>
        <w:t>承担，同时</w:t>
      </w:r>
      <w:r>
        <w:rPr>
          <w:rFonts w:hint="eastAsia" w:ascii="宋体" w:hAnsi="宋体"/>
          <w:sz w:val="24"/>
          <w:lang w:eastAsia="zh-CN"/>
        </w:rPr>
        <w:t>招标人</w:t>
      </w:r>
      <w:r>
        <w:rPr>
          <w:rFonts w:hint="eastAsia" w:ascii="宋体" w:hAnsi="宋体"/>
          <w:sz w:val="24"/>
        </w:rPr>
        <w:t>有权扣除质保金。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eastAsia="zh-CN"/>
        </w:rPr>
        <w:t>中标人</w:t>
      </w:r>
      <w:r>
        <w:rPr>
          <w:rFonts w:hint="eastAsia" w:ascii="宋体" w:hAnsi="宋体"/>
          <w:sz w:val="24"/>
        </w:rPr>
        <w:t>必须在合同约定的供货期内保质保量按期供货，逾期（不可抗力及</w:t>
      </w:r>
      <w:r>
        <w:rPr>
          <w:rFonts w:hint="eastAsia" w:ascii="宋体" w:hAnsi="宋体"/>
          <w:sz w:val="24"/>
          <w:lang w:eastAsia="zh-CN"/>
        </w:rPr>
        <w:t>招标人</w:t>
      </w:r>
      <w:r>
        <w:rPr>
          <w:rFonts w:hint="eastAsia" w:ascii="宋体" w:hAnsi="宋体"/>
          <w:sz w:val="24"/>
        </w:rPr>
        <w:t>原因除外）按日加收合同总款1%的滞纳金，滞纳金总额不超过合同总价的30%。如果逾期超过10天，经</w:t>
      </w:r>
      <w:r>
        <w:rPr>
          <w:rFonts w:hint="eastAsia" w:ascii="宋体" w:hAnsi="宋体"/>
          <w:sz w:val="24"/>
          <w:lang w:eastAsia="zh-CN"/>
        </w:rPr>
        <w:t>招标人</w:t>
      </w:r>
      <w:r>
        <w:rPr>
          <w:rFonts w:hint="eastAsia" w:ascii="宋体" w:hAnsi="宋体"/>
          <w:sz w:val="24"/>
        </w:rPr>
        <w:t>催促无效，</w:t>
      </w:r>
      <w:r>
        <w:rPr>
          <w:rFonts w:hint="eastAsia" w:ascii="宋体" w:hAnsi="宋体"/>
          <w:sz w:val="24"/>
          <w:lang w:eastAsia="zh-CN"/>
        </w:rPr>
        <w:t>招标人</w:t>
      </w:r>
      <w:r>
        <w:rPr>
          <w:rFonts w:hint="eastAsia" w:ascii="宋体" w:hAnsi="宋体"/>
          <w:sz w:val="24"/>
        </w:rPr>
        <w:t>有权解除合同。</w:t>
      </w:r>
      <w:r>
        <w:rPr>
          <w:rFonts w:hint="eastAsia" w:ascii="宋体" w:hAnsi="宋体"/>
          <w:sz w:val="24"/>
          <w:lang w:eastAsia="zh-CN"/>
        </w:rPr>
        <w:t>招标人</w:t>
      </w:r>
      <w:r>
        <w:rPr>
          <w:rFonts w:hint="eastAsia" w:ascii="宋体" w:hAnsi="宋体"/>
          <w:sz w:val="24"/>
        </w:rPr>
        <w:t>解除合同的通知将以邮寄形式邮寄到</w:t>
      </w:r>
      <w:r>
        <w:rPr>
          <w:rFonts w:hint="eastAsia" w:ascii="宋体" w:hAnsi="宋体"/>
          <w:sz w:val="24"/>
          <w:lang w:eastAsia="zh-CN"/>
        </w:rPr>
        <w:t>中标人</w:t>
      </w:r>
      <w:r>
        <w:rPr>
          <w:rFonts w:hint="eastAsia" w:ascii="宋体" w:hAnsi="宋体"/>
          <w:sz w:val="24"/>
        </w:rPr>
        <w:t>所在地，时间从到达</w:t>
      </w:r>
      <w:r>
        <w:rPr>
          <w:rFonts w:hint="eastAsia" w:ascii="宋体" w:hAnsi="宋体"/>
          <w:sz w:val="24"/>
          <w:lang w:eastAsia="zh-CN"/>
        </w:rPr>
        <w:t>中标人</w:t>
      </w:r>
      <w:r>
        <w:rPr>
          <w:rFonts w:hint="eastAsia" w:ascii="宋体" w:hAnsi="宋体"/>
          <w:sz w:val="24"/>
        </w:rPr>
        <w:t>时生效。由于</w:t>
      </w:r>
      <w:r>
        <w:rPr>
          <w:rFonts w:hint="eastAsia" w:ascii="宋体" w:hAnsi="宋体"/>
          <w:sz w:val="24"/>
          <w:lang w:eastAsia="zh-CN"/>
        </w:rPr>
        <w:t>中标人</w:t>
      </w:r>
      <w:r>
        <w:rPr>
          <w:rFonts w:hint="eastAsia" w:ascii="宋体" w:hAnsi="宋体"/>
          <w:sz w:val="24"/>
        </w:rPr>
        <w:t>逾期供货给</w:t>
      </w:r>
      <w:r>
        <w:rPr>
          <w:rFonts w:hint="eastAsia" w:ascii="宋体" w:hAnsi="宋体"/>
          <w:sz w:val="24"/>
          <w:lang w:eastAsia="zh-CN"/>
        </w:rPr>
        <w:t>招标人</w:t>
      </w:r>
      <w:r>
        <w:rPr>
          <w:rFonts w:hint="eastAsia" w:ascii="宋体" w:hAnsi="宋体"/>
          <w:sz w:val="24"/>
        </w:rPr>
        <w:t>造成损失的，</w:t>
      </w:r>
      <w:r>
        <w:rPr>
          <w:rFonts w:hint="eastAsia" w:ascii="宋体" w:hAnsi="宋体"/>
          <w:sz w:val="24"/>
          <w:lang w:eastAsia="zh-CN"/>
        </w:rPr>
        <w:t>中标人</w:t>
      </w:r>
      <w:r>
        <w:rPr>
          <w:rFonts w:hint="eastAsia" w:ascii="宋体" w:hAnsi="宋体"/>
          <w:sz w:val="24"/>
        </w:rPr>
        <w:t>还应承担赔偿责任。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default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三、质保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1.质保期：</w:t>
      </w:r>
      <w:r>
        <w:rPr>
          <w:rFonts w:hint="eastAsia" w:ascii="宋体" w:hAnsi="宋体"/>
          <w:b/>
          <w:bCs/>
          <w:sz w:val="24"/>
          <w:lang w:val="en-US" w:eastAsia="zh-CN"/>
        </w:rPr>
        <w:t>电源5年，其他2年</w:t>
      </w:r>
      <w:r>
        <w:rPr>
          <w:rFonts w:hint="eastAsia" w:ascii="宋体" w:hAnsi="宋体"/>
          <w:sz w:val="24"/>
          <w:lang w:val="en-US" w:eastAsia="zh-CN"/>
        </w:rPr>
        <w:t>；</w:t>
      </w:r>
      <w:r>
        <w:rPr>
          <w:rFonts w:hint="eastAsia" w:ascii="宋体" w:hAnsi="宋体"/>
          <w:sz w:val="24"/>
        </w:rPr>
        <w:t>从</w:t>
      </w:r>
      <w:r>
        <w:rPr>
          <w:rFonts w:hint="eastAsia" w:ascii="宋体" w:hAnsi="宋体"/>
          <w:sz w:val="24"/>
          <w:lang w:val="en-US" w:eastAsia="zh-CN"/>
        </w:rPr>
        <w:t>招标人</w:t>
      </w:r>
      <w:r>
        <w:rPr>
          <w:rFonts w:hint="eastAsia" w:ascii="宋体" w:hAnsi="宋体"/>
          <w:sz w:val="24"/>
        </w:rPr>
        <w:t>接收货物并开具验收合格单</w:t>
      </w:r>
      <w:r>
        <w:rPr>
          <w:rFonts w:hint="eastAsia" w:ascii="宋体" w:hAnsi="宋体"/>
          <w:sz w:val="24"/>
          <w:lang w:val="en-US" w:eastAsia="zh-CN"/>
        </w:rPr>
        <w:t>之</w:t>
      </w:r>
      <w:bookmarkStart w:id="3" w:name="_GoBack"/>
      <w:bookmarkEnd w:id="3"/>
      <w:r>
        <w:rPr>
          <w:rFonts w:hint="eastAsia" w:ascii="宋体" w:hAnsi="宋体"/>
          <w:sz w:val="24"/>
        </w:rPr>
        <w:t>日起计算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质保期内，出现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损坏等质量问题的，由中标人无条件更换并承担相关维修费用（含人工、机械、管理等费用），中标人应提供充足的备品备件，且不得低于每笔订单同款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总量的2%，必须在接到招标人通知12小时内响应、48小时内送至招标人指定地点。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中标人未按前述期限内完成的，招标人有权另行采购、维修，相关费用（产品采购费用、更换维修费用等）由中标人承担，并有权直接从剩余应付货款、质保金中扣除。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质保期内，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损坏率超过合同供货总量的2%的或供货阶段损坏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总量超过已下单订单总量的2%，招标人有权就超出部分的损坏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向中标人主张退款退货并要求乙方承担该损坏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采购价款总和的2倍作为违约金，供货阶段损坏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总量超过已下单订单总量的2%，招标人有权就未达到采购预算金额的部分解除买卖合同关系并要求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</w:rPr>
        <w:t>按未达到采购预算金额部分的20%承担违约金。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双方确认前述违约金系在影响工期、重新采购招标，给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</w:rPr>
        <w:t>造成直接、间接损失的情况下确定的数额，不存在过高情形。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中标后供应阶段，招标人有权随时进行抽检，若抽检合格，则由招标人承担检测费用，若抽检不合格，则由中标人承担检测费用。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四、结算和付款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OLE_LINK7"/>
      <w:bookmarkStart w:id="2" w:name="OLE_LINK6"/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执行中标单价，数量按实结算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在规定时间内将全部货物运达到货地点且经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验收合格后，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提供金额为合同总价100%的增值税专用发票，经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审核无误后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60天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内（日历天数），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支付合同总价的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95%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质保期结束后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支付合同总价的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（质保金）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mYyYzJhMzljNzdmOTg3YzQzYjJiOTRkZjE1ZTgifQ=="/>
  </w:docVars>
  <w:rsids>
    <w:rsidRoot w:val="1F404D9A"/>
    <w:rsid w:val="009F469B"/>
    <w:rsid w:val="00AA3921"/>
    <w:rsid w:val="00C80433"/>
    <w:rsid w:val="00CE65B7"/>
    <w:rsid w:val="06B50CF4"/>
    <w:rsid w:val="0AB25312"/>
    <w:rsid w:val="1AB1400B"/>
    <w:rsid w:val="1C5B30CA"/>
    <w:rsid w:val="1F404D9A"/>
    <w:rsid w:val="1F7A2683"/>
    <w:rsid w:val="21F861D0"/>
    <w:rsid w:val="24B02A7F"/>
    <w:rsid w:val="2F101AA4"/>
    <w:rsid w:val="2F4C7AA6"/>
    <w:rsid w:val="2FFE4D66"/>
    <w:rsid w:val="31245EC6"/>
    <w:rsid w:val="378E255C"/>
    <w:rsid w:val="39CE16D6"/>
    <w:rsid w:val="40983941"/>
    <w:rsid w:val="41E21093"/>
    <w:rsid w:val="4B343621"/>
    <w:rsid w:val="4B8275C7"/>
    <w:rsid w:val="4BAC25F5"/>
    <w:rsid w:val="4C93212D"/>
    <w:rsid w:val="4E245AD2"/>
    <w:rsid w:val="5D6B1052"/>
    <w:rsid w:val="5E066391"/>
    <w:rsid w:val="62FF7F98"/>
    <w:rsid w:val="63092022"/>
    <w:rsid w:val="64EF0C33"/>
    <w:rsid w:val="6CE152E1"/>
    <w:rsid w:val="7287119F"/>
    <w:rsid w:val="7C99506C"/>
    <w:rsid w:val="7CA7288F"/>
    <w:rsid w:val="7F132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150"/>
      <w:jc w:val="center"/>
      <w:outlineLvl w:val="0"/>
    </w:pPr>
    <w:rPr>
      <w:b/>
      <w:kern w:val="44"/>
      <w:sz w:val="48"/>
      <w:szCs w:val="20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link w:val="3"/>
    <w:qFormat/>
    <w:uiPriority w:val="0"/>
    <w:rPr>
      <w:rFonts w:ascii="宋体"/>
      <w:b/>
      <w:kern w:val="0"/>
      <w:sz w:val="24"/>
      <w:szCs w:val="20"/>
      <w:u w:val="single"/>
    </w:rPr>
  </w:style>
  <w:style w:type="paragraph" w:customStyle="1" w:styleId="11">
    <w:name w:val="表格"/>
    <w:basedOn w:val="1"/>
    <w:qFormat/>
    <w:uiPriority w:val="0"/>
    <w:pPr>
      <w:spacing w:line="360" w:lineRule="auto"/>
    </w:pPr>
    <w:rPr>
      <w:rFonts w:ascii="宋体" w:hAnsi="宋体"/>
      <w:color w:val="000000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6">
    <w:name w:val="标题 3 字符"/>
    <w:qFormat/>
    <w:uiPriority w:val="0"/>
    <w:rPr>
      <w:rFonts w:hint="default" w:ascii="Calibri" w:hAnsi="Calibri" w:eastAsia="黑体" w:cs="Calibri"/>
      <w:b/>
      <w:kern w:val="0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355</Words>
  <Characters>2024</Characters>
  <Lines>16</Lines>
  <Paragraphs>4</Paragraphs>
  <TotalTime>2</TotalTime>
  <ScaleCrop>false</ScaleCrop>
  <LinksUpToDate>false</LinksUpToDate>
  <CharactersWithSpaces>2375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2024-08-26T01:43:00Z</dcterms:created>
  <dc:creator>石威1388715706</dc:creator>
  <cp:lastModifiedBy>试用版</cp:lastModifiedBy>
  <cp:lastPrinted>2024-09-02T06:42:00Z</cp:lastPrinted>
  <dcterms:modified xsi:type="dcterms:W3CDTF">2024-10-14T06:16:25Z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C4140614295F4E39926A047CC0B9BEFB_13</vt:lpwstr>
  </property>
</Properties>
</file>